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8" w:rsidRPr="000976C8" w:rsidRDefault="000976C8" w:rsidP="000976C8">
      <w:pPr>
        <w:jc w:val="center"/>
        <w:rPr>
          <w:rFonts w:ascii="Sylfaen" w:hAnsi="Sylfaen"/>
          <w:b/>
          <w:lang w:val="ka-GE"/>
        </w:rPr>
      </w:pPr>
      <w:r w:rsidRPr="000976C8">
        <w:rPr>
          <w:rFonts w:ascii="Sylfaen" w:hAnsi="Sylfaen"/>
          <w:b/>
          <w:lang w:val="ka-GE"/>
        </w:rPr>
        <w:t xml:space="preserve">პოლიტიკისა და საერთაშორისო ურთიერთობების </w:t>
      </w:r>
    </w:p>
    <w:p w:rsidR="000976C8" w:rsidRDefault="000976C8" w:rsidP="000976C8">
      <w:pPr>
        <w:jc w:val="center"/>
        <w:rPr>
          <w:rFonts w:ascii="Sylfaen" w:hAnsi="Sylfaen"/>
          <w:b/>
          <w:lang w:val="ka-GE"/>
        </w:rPr>
      </w:pPr>
      <w:r w:rsidRPr="000976C8">
        <w:rPr>
          <w:rFonts w:ascii="Sylfaen" w:hAnsi="Sylfaen"/>
          <w:b/>
          <w:lang w:val="ka-GE"/>
        </w:rPr>
        <w:t xml:space="preserve">დეპარტამენტის სადისერტაციო საბჭოს წევრების </w:t>
      </w:r>
    </w:p>
    <w:p w:rsidR="000976C8" w:rsidRPr="000976C8" w:rsidRDefault="000976C8" w:rsidP="000976C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 ი ა</w:t>
      </w:r>
    </w:p>
    <w:tbl>
      <w:tblPr>
        <w:tblW w:w="11171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7885"/>
        <w:gridCol w:w="2519"/>
      </w:tblGrid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kveselava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igor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severianes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</w:tr>
      <w:tr w:rsidR="000976C8" w:rsidRPr="000976C8" w:rsidTr="003C21EA">
        <w:trPr>
          <w:trHeight w:val="460"/>
        </w:trPr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sigua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soso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ilias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3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SubiTiZe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vaJa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avTandilis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4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sonRulaSvili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avTandil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vaxtangis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GB"/>
              </w:rPr>
            </w:pPr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5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miSvelaZe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revaz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avqsentis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6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kupraSvili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henri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oTaris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7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yifiani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maia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vaxtangis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8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kvetenaZe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zurab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Jutas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9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jijeiSvili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qeTi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mamias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10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gvenetaZe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epifane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aleqsandres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11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kiknaZe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avTandil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mixeilis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12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darCaSvili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manana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robizonis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13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tabucaZe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omari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aleqsandres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14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GB"/>
              </w:rPr>
              <w:t>TavdiSvili</w:t>
            </w:r>
            <w:proofErr w:type="spellEnd"/>
            <w:r w:rsidRPr="000976C8">
              <w:rPr>
                <w:rFonts w:ascii="AcadMtavr" w:hAnsi="AcadMtavr"/>
                <w:lang w:val="en-GB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GB"/>
              </w:rPr>
              <w:t>murmani</w:t>
            </w:r>
            <w:proofErr w:type="spellEnd"/>
            <w:r w:rsidRPr="000976C8">
              <w:rPr>
                <w:rFonts w:ascii="AcadMtavr" w:hAnsi="AcadMtavr"/>
                <w:lang w:val="en-GB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GB"/>
              </w:rPr>
              <w:t>melitonis</w:t>
            </w:r>
            <w:proofErr w:type="spellEnd"/>
            <w:r w:rsidRPr="000976C8">
              <w:rPr>
                <w:rFonts w:ascii="AcadMtavr" w:hAnsi="AcadMtavr"/>
                <w:lang w:val="en-GB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GB"/>
              </w:rPr>
              <w:t>Ze</w:t>
            </w:r>
            <w:proofErr w:type="spellEnd"/>
            <w:r w:rsidRPr="000976C8">
              <w:rPr>
                <w:rFonts w:ascii="AcadMtavr" w:hAnsi="AcadMtavr"/>
                <w:lang w:val="en-GB"/>
              </w:rPr>
              <w:t xml:space="preserve">  </w:t>
            </w:r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პროფესორი</w:t>
            </w:r>
            <w:r w:rsidRPr="000976C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15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guramiSvili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maia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guramis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16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buxraSvili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eka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kukuris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17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ruxaZe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revaz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daviTis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rPr>
          <w:trHeight w:val="425"/>
        </w:trPr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18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lomiZe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nona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kobas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19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osiZe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levani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SoTas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20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oTxozoria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nino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goneris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asuli</w:t>
            </w:r>
            <w:proofErr w:type="spellEnd"/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21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midelaSvili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sofo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jemalis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22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bliaZe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Tamar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giorgis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23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baxsoliani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nana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nikolozis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  <w:vAlign w:val="bottom"/>
          </w:tcPr>
          <w:p w:rsidR="000976C8" w:rsidRPr="000976C8" w:rsidRDefault="000976C8" w:rsidP="003C21EA">
            <w:pPr>
              <w:rPr>
                <w:rFonts w:ascii="Calibri" w:hAnsi="Calibri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24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kapanaZe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lali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marselis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</w:tcPr>
          <w:p w:rsidR="000976C8" w:rsidRPr="000976C8" w:rsidRDefault="000976C8" w:rsidP="003C21EA">
            <w:pPr>
              <w:rPr>
                <w:rFonts w:ascii="Sylfaen" w:hAnsi="Sylfaen"/>
                <w:lang w:val="ka-GE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25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grigalaSvili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suliko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vaJas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pPr>
              <w:rPr>
                <w:rFonts w:ascii="Sylfaen" w:hAnsi="Sylfaen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26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Jvelia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nona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vardenis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asuli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27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kalandaZe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giorgi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zurabis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28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durmiSiZe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nugzari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sergis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Ze</w:t>
            </w:r>
            <w:proofErr w:type="spellEnd"/>
          </w:p>
        </w:tc>
        <w:tc>
          <w:tcPr>
            <w:tcW w:w="1890" w:type="dxa"/>
          </w:tcPr>
          <w:p w:rsidR="000976C8" w:rsidRPr="000976C8" w:rsidRDefault="000976C8" w:rsidP="003C21EA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29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amniaSvili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Tea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sulxanis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</w:t>
            </w:r>
          </w:p>
        </w:tc>
        <w:tc>
          <w:tcPr>
            <w:tcW w:w="1890" w:type="dxa"/>
          </w:tcPr>
          <w:p w:rsidR="000976C8" w:rsidRPr="000976C8" w:rsidRDefault="000976C8" w:rsidP="003C21EA">
            <w:pPr>
              <w:rPr>
                <w:rFonts w:ascii="AcadMtavr" w:hAnsi="AcadMtavr"/>
                <w:lang w:val="ka-GE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</w:tc>
      </w:tr>
      <w:tr w:rsidR="000976C8" w:rsidRPr="000976C8" w:rsidTr="003C21EA">
        <w:tc>
          <w:tcPr>
            <w:tcW w:w="575" w:type="dxa"/>
          </w:tcPr>
          <w:p w:rsidR="000976C8" w:rsidRPr="000976C8" w:rsidRDefault="000976C8" w:rsidP="003C21EA">
            <w:pPr>
              <w:spacing w:line="360" w:lineRule="auto"/>
              <w:rPr>
                <w:rFonts w:ascii="AcadMtavr" w:hAnsi="AcadMtavr"/>
                <w:lang w:val="en-US"/>
              </w:rPr>
            </w:pPr>
            <w:r w:rsidRPr="000976C8">
              <w:rPr>
                <w:rFonts w:ascii="AcadMtavr" w:hAnsi="AcadMtavr"/>
                <w:lang w:val="en-US"/>
              </w:rPr>
              <w:t>30</w:t>
            </w:r>
          </w:p>
        </w:tc>
        <w:tc>
          <w:tcPr>
            <w:tcW w:w="5916" w:type="dxa"/>
          </w:tcPr>
          <w:p w:rsidR="000976C8" w:rsidRPr="000976C8" w:rsidRDefault="000976C8" w:rsidP="003C21EA">
            <w:pPr>
              <w:spacing w:line="276" w:lineRule="auto"/>
              <w:ind w:right="-108"/>
              <w:rPr>
                <w:rFonts w:ascii="AcadMtavr" w:hAnsi="AcadMtavr"/>
                <w:lang w:val="en-US"/>
              </w:rPr>
            </w:pPr>
            <w:proofErr w:type="spellStart"/>
            <w:r w:rsidRPr="000976C8">
              <w:rPr>
                <w:rFonts w:ascii="AcadMtavr" w:hAnsi="AcadMtavr"/>
                <w:lang w:val="en-US"/>
              </w:rPr>
              <w:t>kowowaSvili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madlena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</w:t>
            </w:r>
            <w:proofErr w:type="spellStart"/>
            <w:r w:rsidRPr="000976C8">
              <w:rPr>
                <w:rFonts w:ascii="AcadMtavr" w:hAnsi="AcadMtavr"/>
                <w:lang w:val="en-US"/>
              </w:rPr>
              <w:t>valerianis</w:t>
            </w:r>
            <w:proofErr w:type="spellEnd"/>
            <w:r w:rsidRPr="000976C8">
              <w:rPr>
                <w:rFonts w:ascii="AcadMtavr" w:hAnsi="AcadMtavr"/>
                <w:lang w:val="en-US"/>
              </w:rPr>
              <w:t xml:space="preserve"> as </w:t>
            </w:r>
          </w:p>
        </w:tc>
        <w:tc>
          <w:tcPr>
            <w:tcW w:w="1890" w:type="dxa"/>
          </w:tcPr>
          <w:p w:rsidR="000976C8" w:rsidRPr="000976C8" w:rsidRDefault="000976C8" w:rsidP="003C21EA">
            <w:pPr>
              <w:rPr>
                <w:rFonts w:ascii="Sylfaen" w:hAnsi="Sylfaen" w:cs="Sylfaen"/>
                <w:color w:val="000000"/>
                <w:lang w:val="en-US"/>
              </w:rPr>
            </w:pPr>
            <w:r w:rsidRPr="000976C8">
              <w:rPr>
                <w:rFonts w:ascii="Sylfaen" w:hAnsi="Sylfaen" w:cs="Sylfaen"/>
                <w:color w:val="000000"/>
              </w:rPr>
              <w:t>ასოც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0976C8">
              <w:rPr>
                <w:rFonts w:ascii="Sylfaen" w:hAnsi="Sylfaen" w:cs="Sylfaen"/>
                <w:color w:val="000000"/>
              </w:rPr>
              <w:t>პროფ</w:t>
            </w:r>
            <w:r w:rsidRPr="000976C8">
              <w:rPr>
                <w:rFonts w:ascii="Sylfaen" w:hAnsi="Sylfaen" w:cs="Sylfaen"/>
                <w:color w:val="000000"/>
                <w:lang w:val="en-US"/>
              </w:rPr>
              <w:t>.</w:t>
            </w:r>
          </w:p>
          <w:p w:rsidR="000976C8" w:rsidRPr="000976C8" w:rsidRDefault="000976C8" w:rsidP="003C21EA">
            <w:r w:rsidRPr="000976C8">
              <w:rPr>
                <w:rFonts w:ascii="Sylfaen" w:hAnsi="Sylfaen" w:cs="Sylfaen"/>
                <w:color w:val="000000"/>
                <w:lang w:val="en-US"/>
              </w:rPr>
              <w:t xml:space="preserve">0.5 </w:t>
            </w:r>
          </w:p>
        </w:tc>
      </w:tr>
    </w:tbl>
    <w:p w:rsidR="000976C8" w:rsidRPr="000976C8" w:rsidRDefault="000976C8" w:rsidP="000976C8">
      <w:pPr>
        <w:jc w:val="center"/>
        <w:rPr>
          <w:rFonts w:ascii="Sylfaen" w:hAnsi="Sylfaen"/>
          <w:b/>
          <w:lang w:val="ka-GE"/>
        </w:rPr>
      </w:pPr>
    </w:p>
    <w:sectPr w:rsidR="000976C8" w:rsidRPr="000976C8" w:rsidSect="000976C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6C8"/>
    <w:rsid w:val="000976C8"/>
    <w:rsid w:val="003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1</cp:revision>
  <dcterms:created xsi:type="dcterms:W3CDTF">2018-07-26T01:09:00Z</dcterms:created>
  <dcterms:modified xsi:type="dcterms:W3CDTF">2018-07-26T01:13:00Z</dcterms:modified>
</cp:coreProperties>
</file>